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151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Жежу Ивана, </w:t>
      </w: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31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Жежу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ранспортным средством </w:t>
      </w:r>
      <w:r>
        <w:rPr>
          <w:rStyle w:val="cat-CarMakeModelgrp-32rplc-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4rplc-2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пешеходный переход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сигнал светофора,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данное административное правонарушение совершено им повторно в течении года, ответственность за данное правонарушение предусмотрена ч. 3 ст.12.12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этой связи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полагает возможным рассмотреть дело в отсутствие лица, в отношении которог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ведется производство по делу,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имеющимся доказательствам.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3 ст.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повторное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статьи, влечет наложение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участники дорожного движения обязаны знать и соблюдать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ним требования Правил, сигналов светофоров, знаков и разметки.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4" w:anchor="/document/1305770/entry/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/document/1305770/entry/6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6.14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и предупреждает о предстоящей смене сигналов; желтый мигающий сигнал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разрешает движение и информирует о наличии нерегулируемого </w:t>
      </w:r>
      <w:hyperlink r:id="rId5" w:anchor="/document/1305770/entry/100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перекрестка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5" w:anchor="/document/1305770/entry/100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пешеходного перехода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4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Жежу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подтверждается исследованными по делу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707358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ДПС ОБДПС ГАИ УМВД России по г. Сургуту от 26.12.2025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86251113001741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назначении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12.12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оАП РФ в виде штрафа в размере </w:t>
      </w:r>
      <w:r>
        <w:rPr>
          <w:rStyle w:val="cat-Sumgrp-23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данными специального технического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об оплате штрафа; параметрами светофорного регулирования СВ № 73 (</w:t>
      </w:r>
      <w:r>
        <w:rPr>
          <w:rStyle w:val="cat-UserDefinedgrp-4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диском с видеозаписью совершенного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Приведенные выше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26.2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</w:rPr>
        <w:t>к числу доказательств, имеющих значение для правильного разрешения дела, и исключают какие-либо сомнения в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Жежу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рассматриваемого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ч. 2 данной статьи.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инспектора по ИАЗ ЦАФАП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ОДД ГИБДД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№ </w:t>
      </w:r>
      <w:r>
        <w:rPr>
          <w:rFonts w:ascii="Times New Roman" w:eastAsia="Times New Roman" w:hAnsi="Times New Roman" w:cs="Times New Roman"/>
          <w:sz w:val="28"/>
          <w:szCs w:val="28"/>
        </w:rPr>
        <w:t>18810586251113001741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собственник (владелец) транспортного средства </w:t>
      </w:r>
      <w:r>
        <w:rPr>
          <w:rStyle w:val="cat-CarMakeModelgrp-33rplc-3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5rplc-4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Жежу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ст. 12.1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подвергнут наказанию в виде штрафа в размере </w:t>
      </w:r>
      <w:r>
        <w:rPr>
          <w:rStyle w:val="cat-Sumgrp-24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исходя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текущей квитанции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материалах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оплачен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28.11.2025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Style w:val="cat-Sumgrp-25rplc-4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Жежу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законом порядке данное постановление не обжаловал, поэтому оно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годичный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окончания исполнения данного постановления на момент совершения правонарушения – </w:t>
      </w:r>
      <w:r>
        <w:rPr>
          <w:rFonts w:ascii="Times New Roman" w:eastAsia="Times New Roman" w:hAnsi="Times New Roman" w:cs="Times New Roman"/>
          <w:sz w:val="28"/>
          <w:szCs w:val="28"/>
        </w:rPr>
        <w:t>25.12.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не истек,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Жежу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совершившим аналогичное административное правонарушение. В этой связи оценив собранные по делу доказательства в их совокупности по правилам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Жежу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3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следовательно, законных оснований для привлечения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указанного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по делу, переквалификации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Жежу 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наказания, мировой судья учитывает личность виновного, обстоятельства, смягчающие и отягчающие административную ответственность, характер совершенного правонарушения, а также то, что 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25267/entry/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наказание должно иметь своей целью предупреждение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Жежу И.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имеющегося в материалах дела реестра правонарушений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Жежу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подвергался административным наказаниям в виде штрафа за совершение административных правонарушений в области дорожного движения, предусмотренных главой 12 КоАП РФ. По смыслу закона административные правонарушения, предусмотренные главой 12 КоАП РФ, являются однородными, поскольку имеют единый родовой объект посягательств.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приходит к выводу, что необходимым и достаточным для исправления правонарушителя будет являться 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Жежу 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3 ст. 12.12 КоАП РФ и подвергнуть наказанию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6rplc-5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 ИНН 8601010390, КПП 860101001; КБК 18811601123010001140; УИН 18810486250</w:t>
      </w:r>
      <w:r>
        <w:rPr>
          <w:rFonts w:ascii="Times New Roman" w:eastAsia="Times New Roman" w:hAnsi="Times New Roman" w:cs="Times New Roman"/>
          <w:sz w:val="28"/>
          <w:szCs w:val="28"/>
        </w:rPr>
        <w:t>320025992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установленный законом срок влечет административную ответственность по ч. 1 ст. 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каб. </w:t>
      </w:r>
      <w:r>
        <w:rPr>
          <w:rFonts w:ascii="Times New Roman" w:eastAsia="Times New Roman" w:hAnsi="Times New Roman" w:cs="Times New Roman"/>
          <w:sz w:val="28"/>
          <w:szCs w:val="28"/>
        </w:rPr>
        <w:t>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455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Timegrp-31rplc-18">
    <w:name w:val="cat-Time grp-31 rplc-18"/>
    <w:basedOn w:val="DefaultParagraphFont"/>
  </w:style>
  <w:style w:type="character" w:customStyle="1" w:styleId="cat-UserDefinedgrp-45rplc-21">
    <w:name w:val="cat-UserDefined grp-45 rplc-21"/>
    <w:basedOn w:val="DefaultParagraphFont"/>
  </w:style>
  <w:style w:type="character" w:customStyle="1" w:styleId="cat-CarMakeModelgrp-32rplc-23">
    <w:name w:val="cat-CarMakeModel grp-32 rplc-23"/>
    <w:basedOn w:val="DefaultParagraphFont"/>
  </w:style>
  <w:style w:type="character" w:customStyle="1" w:styleId="cat-CarNumbergrp-34rplc-25">
    <w:name w:val="cat-CarNumber grp-34 rplc-25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UserDefinedgrp-46rplc-36">
    <w:name w:val="cat-UserDefined grp-46 rplc-36"/>
    <w:basedOn w:val="DefaultParagraphFont"/>
  </w:style>
  <w:style w:type="character" w:customStyle="1" w:styleId="cat-CarMakeModelgrp-33rplc-39">
    <w:name w:val="cat-CarMakeModel grp-33 rplc-39"/>
    <w:basedOn w:val="DefaultParagraphFont"/>
  </w:style>
  <w:style w:type="character" w:customStyle="1" w:styleId="cat-CarNumbergrp-35rplc-40">
    <w:name w:val="cat-CarNumber grp-35 rplc-40"/>
    <w:basedOn w:val="DefaultParagraphFont"/>
  </w:style>
  <w:style w:type="character" w:customStyle="1" w:styleId="cat-Sumgrp-24rplc-42">
    <w:name w:val="cat-Sum grp-24 rplc-42"/>
    <w:basedOn w:val="DefaultParagraphFont"/>
  </w:style>
  <w:style w:type="character" w:customStyle="1" w:styleId="cat-Sumgrp-25rplc-44">
    <w:name w:val="cat-Sum grp-25 rplc-44"/>
    <w:basedOn w:val="DefaultParagraphFont"/>
  </w:style>
  <w:style w:type="character" w:customStyle="1" w:styleId="cat-Sumgrp-26rplc-55">
    <w:name w:val="cat-Sum grp-26 rplc-5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BA83-40E2-4DE6-80F6-B94456E349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